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B51BD" w:rsidRDefault="00CB51BD" w:rsidP="00D90C5A">
      <w:pPr>
        <w:pStyle w:val="aa"/>
        <w:sectPr w:rsidR="00CB51BD">
          <w:pgSz w:w="11906" w:h="16838"/>
          <w:pgMar w:top="1418" w:right="1531" w:bottom="1418" w:left="1531" w:header="851" w:footer="992" w:gutter="0"/>
          <w:cols w:space="720"/>
          <w:docGrid w:type="lines" w:linePitch="312"/>
        </w:sectPr>
      </w:pPr>
    </w:p>
    <w:p w:rsidR="00CB51BD" w:rsidRDefault="007A12EE" w:rsidP="00D90C5A">
      <w:pPr>
        <w:pStyle w:val="aa"/>
        <w:jc w:val="center"/>
        <w:rPr>
          <w:rFonts w:asciiTheme="minorEastAsia" w:eastAsiaTheme="minorEastAsia" w:hAnsiTheme="minorEastAsia"/>
          <w:sz w:val="44"/>
          <w:szCs w:val="44"/>
        </w:rPr>
      </w:pPr>
      <w:r>
        <w:rPr>
          <w:rFonts w:ascii="华文中宋" w:eastAsia="华文中宋" w:hAnsi="华文中宋" w:hint="eastAsia"/>
          <w:sz w:val="44"/>
          <w:szCs w:val="44"/>
        </w:rPr>
        <w:lastRenderedPageBreak/>
        <w:t>新乡市住房公积金网上业务办理协议</w:t>
      </w:r>
    </w:p>
    <w:p w:rsidR="00CB51BD" w:rsidRDefault="007A12EE">
      <w:pPr>
        <w:pStyle w:val="aa"/>
        <w:ind w:firstLineChars="200" w:firstLine="480"/>
        <w:rPr>
          <w:rFonts w:asciiTheme="minorEastAsia" w:eastAsiaTheme="minorEastAsia" w:hAnsiTheme="minorEastAsia"/>
          <w:sz w:val="24"/>
        </w:rPr>
      </w:pPr>
      <w:r>
        <w:rPr>
          <w:rFonts w:asciiTheme="minorEastAsia" w:eastAsiaTheme="minorEastAsia" w:hAnsiTheme="minorEastAsia" w:hint="eastAsia"/>
          <w:sz w:val="24"/>
        </w:rPr>
        <w:t>甲方：</w:t>
      </w:r>
    </w:p>
    <w:p w:rsidR="00CB51BD" w:rsidRDefault="007A12EE">
      <w:pPr>
        <w:pStyle w:val="aa"/>
        <w:ind w:firstLineChars="200" w:firstLine="480"/>
        <w:rPr>
          <w:rFonts w:asciiTheme="minorEastAsia" w:eastAsiaTheme="minorEastAsia" w:hAnsiTheme="minorEastAsia"/>
          <w:sz w:val="24"/>
        </w:rPr>
      </w:pPr>
      <w:r>
        <w:rPr>
          <w:rFonts w:asciiTheme="minorEastAsia" w:eastAsiaTheme="minorEastAsia" w:hAnsiTheme="minorEastAsia" w:hint="eastAsia"/>
          <w:sz w:val="24"/>
        </w:rPr>
        <w:t>乙方：新乡市住房公积金</w:t>
      </w:r>
      <w:r w:rsidR="00B424E0">
        <w:rPr>
          <w:rFonts w:asciiTheme="minorEastAsia" w:eastAsiaTheme="minorEastAsia" w:hAnsiTheme="minorEastAsia" w:hint="eastAsia"/>
          <w:sz w:val="24"/>
        </w:rPr>
        <w:t>管理</w:t>
      </w:r>
      <w:r>
        <w:rPr>
          <w:rFonts w:asciiTheme="minorEastAsia" w:eastAsiaTheme="minorEastAsia" w:hAnsiTheme="minorEastAsia" w:hint="eastAsia"/>
          <w:sz w:val="24"/>
        </w:rPr>
        <w:t>中心</w:t>
      </w:r>
    </w:p>
    <w:p w:rsidR="00CB51BD" w:rsidRDefault="00CB51BD">
      <w:pPr>
        <w:rPr>
          <w:rFonts w:asciiTheme="minorEastAsia" w:eastAsiaTheme="minorEastAsia" w:hAnsiTheme="minorEastAsia"/>
          <w:sz w:val="24"/>
        </w:rPr>
      </w:pPr>
    </w:p>
    <w:p w:rsidR="00CB51BD" w:rsidRDefault="007A12EE">
      <w:pPr>
        <w:pStyle w:val="aa"/>
        <w:spacing w:line="380" w:lineRule="atLeas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第一条</w:t>
      </w:r>
      <w:r>
        <w:rPr>
          <w:rFonts w:asciiTheme="minorEastAsia" w:eastAsiaTheme="minorEastAsia" w:hAnsiTheme="minorEastAsia" w:hint="eastAsia"/>
          <w:sz w:val="24"/>
        </w:rPr>
        <w:t>为明确甲、乙双方的权利和义务，规范双方的业务行为，根据国家有关法律、法规，本着自愿、平等的原则制定本协议。</w:t>
      </w:r>
    </w:p>
    <w:p w:rsidR="00CB51BD" w:rsidRDefault="007A12EE">
      <w:pPr>
        <w:pStyle w:val="aa"/>
        <w:spacing w:line="380" w:lineRule="atLeas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第二条</w:t>
      </w:r>
      <w:r>
        <w:rPr>
          <w:rFonts w:asciiTheme="minorEastAsia" w:eastAsiaTheme="minorEastAsia" w:hAnsiTheme="minorEastAsia" w:hint="eastAsia"/>
          <w:sz w:val="24"/>
        </w:rPr>
        <w:t>本协议仅适用于住房公积金缴存单位网上业务的办理。</w:t>
      </w:r>
    </w:p>
    <w:p w:rsidR="00CB51BD" w:rsidRDefault="007A12EE">
      <w:pPr>
        <w:pStyle w:val="aa"/>
        <w:spacing w:line="380" w:lineRule="atLeas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第三条</w:t>
      </w:r>
      <w:r>
        <w:rPr>
          <w:rFonts w:asciiTheme="minorEastAsia" w:eastAsiaTheme="minorEastAsia" w:hAnsiTheme="minorEastAsia" w:hint="eastAsia"/>
          <w:sz w:val="24"/>
        </w:rPr>
        <w:t>甲方的权利和义务</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（一）甲方在新乡市住房公积金</w:t>
      </w:r>
      <w:r w:rsidR="00B424E0">
        <w:rPr>
          <w:rFonts w:asciiTheme="minorEastAsia" w:eastAsiaTheme="minorEastAsia" w:hAnsiTheme="minorEastAsia" w:hint="eastAsia"/>
          <w:sz w:val="24"/>
        </w:rPr>
        <w:t>管理</w:t>
      </w:r>
      <w:r>
        <w:rPr>
          <w:rFonts w:asciiTheme="minorEastAsia" w:eastAsiaTheme="minorEastAsia" w:hAnsiTheme="minorEastAsia" w:hint="eastAsia"/>
          <w:sz w:val="24"/>
        </w:rPr>
        <w:t>中心开立住房公积金账户后，可申请使用住房公积金网上业务大厅系统（以下简称“网上业务大厅系统”）。由甲方经办人携带身份证、加盖印鉴的《新乡市住房公积金网上业务受理单》和《新乡市住房公积金网上业务办理协议》到乙方办理申请事宜。</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乙方网上业务大厅系统分CA版和非CA版（普通版），CA版可办理个人开户、封存、启封、基数调整、职工转移、公积金汇缴确认书、打印汇缴凭证及各类查询业务；非CA版可办理公积金汇缴确认书、打印汇缴凭证及各类查询业务。</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（三）甲方需通过CA证书或手机验证码（非CA版）登录使用网上业务大厅系统。乙方以此作为识别客户有效身份的标识，对使用以上标识进行的操作均视为甲方行为。</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甲方应妥善保管好CA证书，如若丢失，应及时办理挂失及补办手续，否则造成的损失，由甲方自行承担。</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（四）甲方应按照相关法规和规定办理各项业务，及时为职工办理住房公积金缴存变更、汇缴手续。</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甲方应建立规范的住房公积金内部管理制度，设立业务经办人，应与乙方系统中预留甲方经办人一致，保证所办业务合规、真实、准确。如提供虚假数据或未按操作流程办理造成的不良后果或资产损失，由甲方自行承担。</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（六）甲方应保存好办理业务的原始凭证，存档以备查证。</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（七）甲方信息发生变更时，应及时通过网上业务大厅系统或到乙方办理变更手续。否则因未及时变更信息，</w:t>
      </w:r>
      <w:r w:rsidR="00373BC3" w:rsidRPr="00373BC3">
        <w:rPr>
          <w:rFonts w:asciiTheme="minorEastAsia" w:eastAsiaTheme="minorEastAsia" w:hAnsiTheme="minorEastAsia" w:hint="eastAsia"/>
          <w:color w:val="FF0000"/>
          <w:sz w:val="24"/>
        </w:rPr>
        <w:t>或</w:t>
      </w:r>
      <w:r w:rsidRPr="00373BC3">
        <w:rPr>
          <w:rFonts w:asciiTheme="minorEastAsia" w:eastAsiaTheme="minorEastAsia" w:hAnsiTheme="minorEastAsia" w:hint="eastAsia"/>
          <w:color w:val="FF0000"/>
          <w:sz w:val="24"/>
        </w:rPr>
        <w:t>私自</w:t>
      </w:r>
      <w:r>
        <w:rPr>
          <w:rFonts w:asciiTheme="minorEastAsia" w:eastAsiaTheme="minorEastAsia" w:hAnsiTheme="minorEastAsia" w:hint="eastAsia"/>
          <w:sz w:val="24"/>
        </w:rPr>
        <w:t>更换经办人等造成的不良后果或财产损失由甲方承担。</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（八）甲方使用网上业务大厅系统时，应直接从乙方网站（</w:t>
      </w:r>
      <w:hyperlink r:id="rId9" w:history="1">
        <w:r>
          <w:rPr>
            <w:rStyle w:val="a9"/>
            <w:rFonts w:asciiTheme="minorEastAsia" w:eastAsiaTheme="minorEastAsia" w:hAnsiTheme="minorEastAsia"/>
            <w:sz w:val="24"/>
          </w:rPr>
          <w:t>http://</w:t>
        </w:r>
      </w:hyperlink>
      <w:r>
        <w:rPr>
          <w:rStyle w:val="a9"/>
          <w:rFonts w:asciiTheme="minorEastAsia" w:eastAsiaTheme="minorEastAsia" w:hAnsiTheme="minorEastAsia" w:hint="eastAsia"/>
          <w:sz w:val="24"/>
        </w:rPr>
        <w:t>www.xxzfgjj.com</w:t>
      </w:r>
      <w:r>
        <w:rPr>
          <w:rFonts w:asciiTheme="minorEastAsia" w:eastAsiaTheme="minorEastAsia" w:hAnsiTheme="minorEastAsia" w:hint="eastAsia"/>
          <w:sz w:val="24"/>
        </w:rPr>
        <w:t>）处登录,通过邮件或其他网站提供的链接地址登录所产生的不利后果由甲方自行承担。</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（九）甲方仅限于在办理业务时使用乙方的网上业务大厅系统，不能擅自复制、修改、增加网上业务大厅系统的服务内容，或创造有关的派生产品。</w:t>
      </w:r>
    </w:p>
    <w:p w:rsidR="00CB51BD" w:rsidRDefault="007A12EE">
      <w:pPr>
        <w:pStyle w:val="aa"/>
        <w:spacing w:line="380" w:lineRule="atLeas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第四条</w:t>
      </w:r>
      <w:r>
        <w:rPr>
          <w:rFonts w:asciiTheme="minorEastAsia" w:eastAsiaTheme="minorEastAsia" w:hAnsiTheme="minorEastAsia" w:hint="eastAsia"/>
          <w:sz w:val="24"/>
        </w:rPr>
        <w:t>乙方的权利和义务</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（一）乙方有权对使用网上业务大厅系统的甲方进行身份认证。未通过身份认证</w:t>
      </w:r>
      <w:r>
        <w:rPr>
          <w:rFonts w:asciiTheme="minorEastAsia" w:eastAsiaTheme="minorEastAsia" w:hAnsiTheme="minorEastAsia" w:hint="eastAsia"/>
          <w:sz w:val="24"/>
        </w:rPr>
        <w:lastRenderedPageBreak/>
        <w:t>的，乙方有权拒绝甲方使用网上业务大厅系统。</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（二）乙方应根据甲方发送的交易指令进行处理，并将处理结果实时反馈给甲方。</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（三）乙方有权定期或不定期对甲方网上所办业务的合法性、合规性进行稽查。</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（四）乙方应向甲方提供必要的网上业务大厅系统操作培训或相关操作说明材料。</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（五）乙方有权对网上业务大厅系统进行升级，对所提供的服务项目进行调整。对系统进行升级或对服务项目进行调整时，应事先进行通告。</w:t>
      </w:r>
    </w:p>
    <w:p w:rsidR="00CB51BD" w:rsidRDefault="007A12EE">
      <w:pPr>
        <w:pStyle w:val="aa"/>
        <w:spacing w:line="380" w:lineRule="atLeas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第五条</w:t>
      </w:r>
      <w:r>
        <w:rPr>
          <w:rFonts w:asciiTheme="minorEastAsia" w:eastAsiaTheme="minorEastAsia" w:hAnsiTheme="minorEastAsia" w:hint="eastAsia"/>
          <w:sz w:val="24"/>
        </w:rPr>
        <w:t>服务变更、中断或终止</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（一）如因系统维护或升级的需要而需暂停网上服务，乙方将通过网站事先进行通告。</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（二）如若甲方提供虚假、错误的资料、数据，或有违反网上业务大厅系统的使用规则和操作流程进行操作的行为，乙方有权随时中断或终止向甲方提供的网上服务而无需通知甲方，并保留追究其责任的权利。</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（三）甲方可自愿申请解除网上服务。甲方自愿解除网上服务时，需甲方经办人携带身份证、加盖印鉴的《新乡市住房公积金网上业务受理单》到乙方办理。</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除上所述情形外，鉴于网络服务的特殊性，乙方保留在自然及其他不可抗力因素作用下变更、中断或终止部分或全部网上服务的权利。对于所有服务中断或终止而造成的损失，乙方无需对甲方或第三方承担任何责任。</w:t>
      </w:r>
    </w:p>
    <w:p w:rsidR="00CB51BD" w:rsidRDefault="007A12EE">
      <w:pPr>
        <w:pStyle w:val="aa"/>
        <w:spacing w:line="380" w:lineRule="atLeas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第六条</w:t>
      </w:r>
      <w:r>
        <w:rPr>
          <w:rFonts w:asciiTheme="minorEastAsia" w:eastAsiaTheme="minorEastAsia" w:hAnsiTheme="minorEastAsia" w:hint="eastAsia"/>
          <w:sz w:val="24"/>
        </w:rPr>
        <w:t>适用法律及争议解决</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（一）本协议的订立、执行和解释及争议的解决均应适用中国法律；</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（二）本协议所涉及的业务均适用于《住房公积金管理条例》等相关法规及新乡市住房公积金</w:t>
      </w:r>
      <w:r w:rsidR="00B424E0">
        <w:rPr>
          <w:rFonts w:asciiTheme="minorEastAsia" w:eastAsiaTheme="minorEastAsia" w:hAnsiTheme="minorEastAsia" w:hint="eastAsia"/>
          <w:sz w:val="24"/>
        </w:rPr>
        <w:t>管理</w:t>
      </w:r>
      <w:r>
        <w:rPr>
          <w:rFonts w:asciiTheme="minorEastAsia" w:eastAsiaTheme="minorEastAsia" w:hAnsiTheme="minorEastAsia" w:hint="eastAsia"/>
          <w:sz w:val="24"/>
        </w:rPr>
        <w:t>中心制定的相关规定，如本协议有特殊规定的按约定执行；</w:t>
      </w:r>
    </w:p>
    <w:p w:rsidR="00CB51BD" w:rsidRDefault="007A12EE">
      <w:pPr>
        <w:pStyle w:val="aa"/>
        <w:spacing w:line="3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如双方对本协议内容或其执行发生任何争议，双方应友好协商解决；协商不成时，提交新乡仲裁委员会按照新乡仲裁委员会现行有效的仲裁规则进行仲裁，仲裁裁决是终局的，对各方均有约束力。在仲裁期间，本协议不涉及争议部分的条款仍须履行。</w:t>
      </w:r>
    </w:p>
    <w:p w:rsidR="00CB51BD" w:rsidRDefault="007A12EE">
      <w:pPr>
        <w:pStyle w:val="aa"/>
        <w:spacing w:line="380" w:lineRule="atLeas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第七条</w:t>
      </w:r>
      <w:r>
        <w:rPr>
          <w:rFonts w:asciiTheme="minorEastAsia" w:eastAsiaTheme="minorEastAsia" w:hAnsiTheme="minorEastAsia" w:hint="eastAsia"/>
          <w:sz w:val="24"/>
        </w:rPr>
        <w:t>本协议一式两份，中心、单位各一份,自双方签订之日起生效。</w:t>
      </w:r>
    </w:p>
    <w:p w:rsidR="00CB51BD" w:rsidRDefault="00CB51BD">
      <w:pPr>
        <w:rPr>
          <w:rFonts w:asciiTheme="minorEastAsia" w:eastAsiaTheme="minorEastAsia" w:hAnsiTheme="minorEastAsia"/>
          <w:sz w:val="30"/>
          <w:szCs w:val="30"/>
        </w:rPr>
      </w:pPr>
    </w:p>
    <w:p w:rsidR="00CB51BD" w:rsidRDefault="007A12EE">
      <w:pPr>
        <w:rPr>
          <w:rFonts w:asciiTheme="minorEastAsia" w:eastAsiaTheme="minorEastAsia" w:hAnsiTheme="minorEastAsia"/>
          <w:sz w:val="28"/>
          <w:szCs w:val="28"/>
        </w:rPr>
      </w:pPr>
      <w:r>
        <w:rPr>
          <w:rFonts w:asciiTheme="minorEastAsia" w:eastAsiaTheme="minorEastAsia" w:hAnsiTheme="minorEastAsia" w:hint="eastAsia"/>
          <w:sz w:val="28"/>
          <w:szCs w:val="28"/>
        </w:rPr>
        <w:t>甲方（公章）：</w:t>
      </w:r>
      <w:r w:rsidR="00FB4E3B">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乙方（业务章）：</w:t>
      </w:r>
    </w:p>
    <w:p w:rsidR="00CB51BD" w:rsidRDefault="007A12EE">
      <w:pPr>
        <w:rPr>
          <w:rFonts w:asciiTheme="minorEastAsia" w:eastAsiaTheme="minorEastAsia" w:hAnsiTheme="minorEastAsia"/>
          <w:sz w:val="28"/>
          <w:szCs w:val="28"/>
        </w:rPr>
      </w:pPr>
      <w:r>
        <w:rPr>
          <w:rFonts w:asciiTheme="minorEastAsia" w:eastAsiaTheme="minorEastAsia" w:hAnsiTheme="minorEastAsia" w:hint="eastAsia"/>
          <w:sz w:val="28"/>
          <w:szCs w:val="28"/>
        </w:rPr>
        <w:t>单位经办人（签字）：</w:t>
      </w:r>
      <w:r w:rsidR="00FB4E3B">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经办柜员（签字）：</w:t>
      </w:r>
    </w:p>
    <w:p w:rsidR="00CB51BD" w:rsidRDefault="0093035E">
      <w:pPr>
        <w:pStyle w:val="aa"/>
      </w:pPr>
      <w:r>
        <w:rPr>
          <w:rFonts w:asciiTheme="minorEastAsia" w:eastAsiaTheme="minorEastAsia" w:hAnsiTheme="minorEastAsia" w:hint="eastAsia"/>
          <w:sz w:val="28"/>
          <w:szCs w:val="28"/>
        </w:rPr>
        <w:t xml:space="preserve">日期:     </w:t>
      </w:r>
      <w:r w:rsidR="007A12EE">
        <w:rPr>
          <w:rFonts w:asciiTheme="minorEastAsia" w:eastAsiaTheme="minorEastAsia" w:hAnsiTheme="minorEastAsia" w:hint="eastAsia"/>
          <w:sz w:val="28"/>
          <w:szCs w:val="28"/>
        </w:rPr>
        <w:t>年</w:t>
      </w:r>
      <w:r w:rsidR="00FB4E3B">
        <w:rPr>
          <w:rFonts w:asciiTheme="minorEastAsia" w:eastAsiaTheme="minorEastAsia" w:hAnsiTheme="minorEastAsia" w:hint="eastAsia"/>
          <w:sz w:val="28"/>
          <w:szCs w:val="28"/>
        </w:rPr>
        <w:t xml:space="preserve">  </w:t>
      </w:r>
      <w:r w:rsidR="007A12EE">
        <w:rPr>
          <w:rFonts w:asciiTheme="minorEastAsia" w:eastAsiaTheme="minorEastAsia" w:hAnsiTheme="minorEastAsia" w:hint="eastAsia"/>
          <w:sz w:val="28"/>
          <w:szCs w:val="28"/>
        </w:rPr>
        <w:t>月</w:t>
      </w:r>
      <w:r w:rsidR="00FB4E3B">
        <w:rPr>
          <w:rFonts w:asciiTheme="minorEastAsia" w:eastAsiaTheme="minorEastAsia" w:hAnsiTheme="minorEastAsia" w:hint="eastAsia"/>
          <w:sz w:val="28"/>
          <w:szCs w:val="28"/>
        </w:rPr>
        <w:t xml:space="preserve">  </w:t>
      </w:r>
      <w:r w:rsidR="007A12EE">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r w:rsidR="00FB4E3B">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日期:     </w:t>
      </w:r>
      <w:r w:rsidR="00FB4E3B">
        <w:rPr>
          <w:rFonts w:asciiTheme="minorEastAsia" w:eastAsiaTheme="minorEastAsia" w:hAnsiTheme="minorEastAsia" w:hint="eastAsia"/>
          <w:sz w:val="28"/>
          <w:szCs w:val="28"/>
        </w:rPr>
        <w:t xml:space="preserve"> </w:t>
      </w:r>
      <w:r w:rsidR="007A12EE">
        <w:rPr>
          <w:rFonts w:asciiTheme="minorEastAsia" w:eastAsiaTheme="minorEastAsia" w:hAnsiTheme="minorEastAsia" w:hint="eastAsia"/>
          <w:sz w:val="28"/>
          <w:szCs w:val="28"/>
        </w:rPr>
        <w:t>年</w:t>
      </w:r>
      <w:r w:rsidR="00FB4E3B">
        <w:rPr>
          <w:rFonts w:asciiTheme="minorEastAsia" w:eastAsiaTheme="minorEastAsia" w:hAnsiTheme="minorEastAsia" w:hint="eastAsia"/>
          <w:sz w:val="28"/>
          <w:szCs w:val="28"/>
        </w:rPr>
        <w:t xml:space="preserve">   </w:t>
      </w:r>
      <w:r w:rsidR="007A12EE">
        <w:rPr>
          <w:rFonts w:asciiTheme="minorEastAsia" w:eastAsiaTheme="minorEastAsia" w:hAnsiTheme="minorEastAsia" w:hint="eastAsia"/>
          <w:sz w:val="28"/>
          <w:szCs w:val="28"/>
        </w:rPr>
        <w:t>月</w:t>
      </w:r>
      <w:r w:rsidR="00FB4E3B">
        <w:rPr>
          <w:rFonts w:asciiTheme="minorEastAsia" w:eastAsiaTheme="minorEastAsia" w:hAnsiTheme="minorEastAsia" w:hint="eastAsia"/>
          <w:sz w:val="28"/>
          <w:szCs w:val="28"/>
        </w:rPr>
        <w:t xml:space="preserve">  </w:t>
      </w:r>
      <w:r w:rsidR="007A12EE">
        <w:rPr>
          <w:rFonts w:asciiTheme="minorEastAsia" w:eastAsiaTheme="minorEastAsia" w:hAnsiTheme="minorEastAsia" w:hint="eastAsia"/>
          <w:sz w:val="28"/>
          <w:szCs w:val="28"/>
        </w:rPr>
        <w:t>日</w:t>
      </w:r>
    </w:p>
    <w:p w:rsidR="00CB51BD" w:rsidRDefault="00CB51BD">
      <w:pPr>
        <w:adjustRightInd w:val="0"/>
        <w:snapToGrid w:val="0"/>
      </w:pPr>
    </w:p>
    <w:sectPr w:rsidR="00CB51BD" w:rsidSect="002D1B18">
      <w:type w:val="continuous"/>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B88" w:rsidRDefault="00077B88" w:rsidP="00F74D93">
      <w:r>
        <w:separator/>
      </w:r>
    </w:p>
  </w:endnote>
  <w:endnote w:type="continuationSeparator" w:id="1">
    <w:p w:rsidR="00077B88" w:rsidRDefault="00077B88" w:rsidP="00F74D9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B88" w:rsidRDefault="00077B88" w:rsidP="00F74D93">
      <w:r>
        <w:separator/>
      </w:r>
    </w:p>
  </w:footnote>
  <w:footnote w:type="continuationSeparator" w:id="1">
    <w:p w:rsidR="00077B88" w:rsidRDefault="00077B88" w:rsidP="00F74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36FA"/>
    <w:multiLevelType w:val="multilevel"/>
    <w:tmpl w:val="02B036FA"/>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C814941"/>
    <w:rsid w:val="00004ED9"/>
    <w:rsid w:val="000066B2"/>
    <w:rsid w:val="00011EB2"/>
    <w:rsid w:val="00077B88"/>
    <w:rsid w:val="000A11DC"/>
    <w:rsid w:val="000B0BDF"/>
    <w:rsid w:val="00117A37"/>
    <w:rsid w:val="001507CD"/>
    <w:rsid w:val="00162521"/>
    <w:rsid w:val="00192651"/>
    <w:rsid w:val="001D44E4"/>
    <w:rsid w:val="002113F6"/>
    <w:rsid w:val="0026173C"/>
    <w:rsid w:val="00286CAE"/>
    <w:rsid w:val="002A236A"/>
    <w:rsid w:val="002B5361"/>
    <w:rsid w:val="002B66DA"/>
    <w:rsid w:val="002D1B18"/>
    <w:rsid w:val="002F2834"/>
    <w:rsid w:val="002F6DEE"/>
    <w:rsid w:val="003045DF"/>
    <w:rsid w:val="0030575A"/>
    <w:rsid w:val="0031200A"/>
    <w:rsid w:val="00316FFD"/>
    <w:rsid w:val="00331809"/>
    <w:rsid w:val="00373BC3"/>
    <w:rsid w:val="003A7814"/>
    <w:rsid w:val="003C14F9"/>
    <w:rsid w:val="00435715"/>
    <w:rsid w:val="00441BBE"/>
    <w:rsid w:val="0044274C"/>
    <w:rsid w:val="00443223"/>
    <w:rsid w:val="004A42D0"/>
    <w:rsid w:val="004B2707"/>
    <w:rsid w:val="004B546E"/>
    <w:rsid w:val="004C43F5"/>
    <w:rsid w:val="004F725C"/>
    <w:rsid w:val="00506345"/>
    <w:rsid w:val="00525493"/>
    <w:rsid w:val="00527B29"/>
    <w:rsid w:val="006162A0"/>
    <w:rsid w:val="0063251B"/>
    <w:rsid w:val="0063413C"/>
    <w:rsid w:val="00652D07"/>
    <w:rsid w:val="0067213F"/>
    <w:rsid w:val="00675F46"/>
    <w:rsid w:val="006B2B2D"/>
    <w:rsid w:val="006C32D6"/>
    <w:rsid w:val="006D2D0F"/>
    <w:rsid w:val="006F16A2"/>
    <w:rsid w:val="006F2110"/>
    <w:rsid w:val="006F29C4"/>
    <w:rsid w:val="00715549"/>
    <w:rsid w:val="00737039"/>
    <w:rsid w:val="00737246"/>
    <w:rsid w:val="00762F7F"/>
    <w:rsid w:val="00777CE5"/>
    <w:rsid w:val="007A12EE"/>
    <w:rsid w:val="007A1A79"/>
    <w:rsid w:val="007A5937"/>
    <w:rsid w:val="007C46F6"/>
    <w:rsid w:val="00830878"/>
    <w:rsid w:val="008860FF"/>
    <w:rsid w:val="00886F0D"/>
    <w:rsid w:val="008D3387"/>
    <w:rsid w:val="0093035E"/>
    <w:rsid w:val="00943BD7"/>
    <w:rsid w:val="0097608F"/>
    <w:rsid w:val="009855EA"/>
    <w:rsid w:val="009867FB"/>
    <w:rsid w:val="009949F8"/>
    <w:rsid w:val="009E479A"/>
    <w:rsid w:val="009E6EA8"/>
    <w:rsid w:val="00A15E45"/>
    <w:rsid w:val="00A24566"/>
    <w:rsid w:val="00A67D4D"/>
    <w:rsid w:val="00AB3BD9"/>
    <w:rsid w:val="00AD573B"/>
    <w:rsid w:val="00AF52E1"/>
    <w:rsid w:val="00B424E0"/>
    <w:rsid w:val="00B726BA"/>
    <w:rsid w:val="00B912DA"/>
    <w:rsid w:val="00BA678F"/>
    <w:rsid w:val="00C33C7E"/>
    <w:rsid w:val="00C4112B"/>
    <w:rsid w:val="00C97293"/>
    <w:rsid w:val="00C97516"/>
    <w:rsid w:val="00CA5121"/>
    <w:rsid w:val="00CB51BD"/>
    <w:rsid w:val="00CC16F3"/>
    <w:rsid w:val="00CC33B1"/>
    <w:rsid w:val="00CE4243"/>
    <w:rsid w:val="00D124E5"/>
    <w:rsid w:val="00D8112D"/>
    <w:rsid w:val="00D90C5A"/>
    <w:rsid w:val="00DE0A37"/>
    <w:rsid w:val="00DE7862"/>
    <w:rsid w:val="00E24F3A"/>
    <w:rsid w:val="00E252B8"/>
    <w:rsid w:val="00E31402"/>
    <w:rsid w:val="00E65A1C"/>
    <w:rsid w:val="00E7361B"/>
    <w:rsid w:val="00EE48C7"/>
    <w:rsid w:val="00F04F01"/>
    <w:rsid w:val="00F05226"/>
    <w:rsid w:val="00F50C30"/>
    <w:rsid w:val="00F74D93"/>
    <w:rsid w:val="00F95AE6"/>
    <w:rsid w:val="00FB4E3B"/>
    <w:rsid w:val="00FC3DDF"/>
    <w:rsid w:val="00FD0A22"/>
    <w:rsid w:val="00FF09E4"/>
    <w:rsid w:val="1C814941"/>
    <w:rsid w:val="225E51B1"/>
    <w:rsid w:val="4ABB0439"/>
    <w:rsid w:val="4C8D4BD7"/>
    <w:rsid w:val="5C312A90"/>
    <w:rsid w:val="6EE65D5C"/>
    <w:rsid w:val="77E77384"/>
    <w:rsid w:val="7BD758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B18"/>
    <w:pPr>
      <w:widowControl w:val="0"/>
      <w:jc w:val="both"/>
    </w:pPr>
    <w:rPr>
      <w:kern w:val="2"/>
      <w:sz w:val="21"/>
      <w:szCs w:val="24"/>
    </w:rPr>
  </w:style>
  <w:style w:type="paragraph" w:styleId="1">
    <w:name w:val="heading 1"/>
    <w:basedOn w:val="a"/>
    <w:next w:val="a"/>
    <w:qFormat/>
    <w:rsid w:val="002D1B18"/>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D1B18"/>
    <w:pPr>
      <w:tabs>
        <w:tab w:val="center" w:pos="4153"/>
        <w:tab w:val="right" w:pos="8306"/>
      </w:tabs>
      <w:snapToGrid w:val="0"/>
      <w:jc w:val="left"/>
    </w:pPr>
    <w:rPr>
      <w:sz w:val="18"/>
      <w:szCs w:val="18"/>
    </w:rPr>
  </w:style>
  <w:style w:type="paragraph" w:styleId="a4">
    <w:name w:val="header"/>
    <w:basedOn w:val="a"/>
    <w:link w:val="Char0"/>
    <w:qFormat/>
    <w:rsid w:val="002D1B18"/>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qFormat/>
    <w:rsid w:val="002D1B18"/>
    <w:pPr>
      <w:spacing w:before="240" w:after="60" w:line="312" w:lineRule="auto"/>
      <w:jc w:val="center"/>
      <w:outlineLvl w:val="1"/>
    </w:pPr>
    <w:rPr>
      <w:rFonts w:asciiTheme="majorHAnsi" w:hAnsiTheme="majorHAnsi" w:cstheme="majorBidi"/>
      <w:b/>
      <w:bCs/>
      <w:kern w:val="28"/>
      <w:sz w:val="32"/>
      <w:szCs w:val="32"/>
    </w:rPr>
  </w:style>
  <w:style w:type="paragraph" w:styleId="a6">
    <w:name w:val="Title"/>
    <w:basedOn w:val="a"/>
    <w:next w:val="a"/>
    <w:link w:val="Char2"/>
    <w:qFormat/>
    <w:rsid w:val="002D1B18"/>
    <w:pPr>
      <w:spacing w:before="240" w:after="60"/>
      <w:jc w:val="center"/>
      <w:outlineLvl w:val="0"/>
    </w:pPr>
    <w:rPr>
      <w:rFonts w:asciiTheme="majorHAnsi" w:hAnsiTheme="majorHAnsi" w:cstheme="majorBidi"/>
      <w:b/>
      <w:bCs/>
      <w:sz w:val="32"/>
      <w:szCs w:val="32"/>
    </w:rPr>
  </w:style>
  <w:style w:type="table" w:styleId="a7">
    <w:name w:val="Table Grid"/>
    <w:basedOn w:val="a1"/>
    <w:qFormat/>
    <w:rsid w:val="002D1B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D1B18"/>
    <w:rPr>
      <w:color w:val="800080" w:themeColor="followedHyperlink"/>
      <w:u w:val="single"/>
    </w:rPr>
  </w:style>
  <w:style w:type="character" w:styleId="a9">
    <w:name w:val="Hyperlink"/>
    <w:basedOn w:val="a0"/>
    <w:rsid w:val="002D1B18"/>
    <w:rPr>
      <w:color w:val="0000FF" w:themeColor="hyperlink"/>
      <w:u w:val="single"/>
    </w:rPr>
  </w:style>
  <w:style w:type="character" w:customStyle="1" w:styleId="Char0">
    <w:name w:val="页眉 Char"/>
    <w:link w:val="a4"/>
    <w:qFormat/>
    <w:rsid w:val="002D1B18"/>
    <w:rPr>
      <w:kern w:val="2"/>
      <w:sz w:val="18"/>
      <w:szCs w:val="18"/>
    </w:rPr>
  </w:style>
  <w:style w:type="character" w:customStyle="1" w:styleId="Char">
    <w:name w:val="页脚 Char"/>
    <w:link w:val="a3"/>
    <w:rsid w:val="002D1B18"/>
    <w:rPr>
      <w:kern w:val="2"/>
      <w:sz w:val="18"/>
      <w:szCs w:val="18"/>
    </w:rPr>
  </w:style>
  <w:style w:type="character" w:customStyle="1" w:styleId="Char1">
    <w:name w:val="副标题 Char"/>
    <w:basedOn w:val="a0"/>
    <w:link w:val="a5"/>
    <w:qFormat/>
    <w:rsid w:val="002D1B18"/>
    <w:rPr>
      <w:rFonts w:asciiTheme="majorHAnsi" w:hAnsiTheme="majorHAnsi" w:cstheme="majorBidi"/>
      <w:b/>
      <w:bCs/>
      <w:kern w:val="28"/>
      <w:sz w:val="32"/>
      <w:szCs w:val="32"/>
    </w:rPr>
  </w:style>
  <w:style w:type="character" w:customStyle="1" w:styleId="Char2">
    <w:name w:val="标题 Char"/>
    <w:basedOn w:val="a0"/>
    <w:link w:val="a6"/>
    <w:qFormat/>
    <w:rsid w:val="002D1B18"/>
    <w:rPr>
      <w:rFonts w:asciiTheme="majorHAnsi" w:hAnsiTheme="majorHAnsi" w:cstheme="majorBidi"/>
      <w:b/>
      <w:bCs/>
      <w:kern w:val="2"/>
      <w:sz w:val="32"/>
      <w:szCs w:val="32"/>
    </w:rPr>
  </w:style>
  <w:style w:type="paragraph" w:styleId="aa">
    <w:name w:val="No Spacing"/>
    <w:uiPriority w:val="1"/>
    <w:qFormat/>
    <w:rsid w:val="002D1B18"/>
    <w:pPr>
      <w:widowControl w:val="0"/>
      <w:jc w:val="both"/>
    </w:pPr>
    <w:rPr>
      <w:kern w:val="2"/>
      <w:sz w:val="21"/>
      <w:szCs w:val="24"/>
    </w:rPr>
  </w:style>
  <w:style w:type="paragraph" w:styleId="ab">
    <w:name w:val="List Paragraph"/>
    <w:basedOn w:val="a"/>
    <w:uiPriority w:val="99"/>
    <w:rsid w:val="0093035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yzfgjj.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A6DA4EA-EBC8-48EB-92E8-081BE87DB3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280</Words>
  <Characters>1601</Characters>
  <Application>Microsoft Office Word</Application>
  <DocSecurity>0</DocSecurity>
  <Lines>13</Lines>
  <Paragraphs>3</Paragraphs>
  <ScaleCrop>false</ScaleCrop>
  <Company>Microsoft</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43</cp:revision>
  <cp:lastPrinted>2019-11-07T01:40:00Z</cp:lastPrinted>
  <dcterms:created xsi:type="dcterms:W3CDTF">2018-05-02T08:46:00Z</dcterms:created>
  <dcterms:modified xsi:type="dcterms:W3CDTF">2023-05-18T08:26:00Z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